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00" w:lineRule="atLeast"/>
        <w:ind w:left="0" w:right="0"/>
        <w:rPr>
          <w:sz w:val="16"/>
          <w:szCs w:val="16"/>
        </w:rPr>
      </w:pPr>
      <w:r>
        <w:rPr>
          <w:rFonts w:ascii="黑体" w:hAnsi="宋体" w:eastAsia="黑体" w:cs="黑体"/>
          <w:sz w:val="21"/>
          <w:szCs w:val="21"/>
          <w:bdr w:val="none" w:color="auto" w:sz="0" w:space="0"/>
        </w:rPr>
        <w:t>附件</w:t>
      </w:r>
      <w:r>
        <w:rPr>
          <w:rFonts w:hint="eastAsia" w:ascii="黑体" w:hAnsi="宋体" w:eastAsia="黑体" w:cs="黑体"/>
          <w:sz w:val="21"/>
          <w:szCs w:val="21"/>
          <w:bdr w:val="none" w:color="auto" w:sz="0" w:space="0"/>
        </w:rPr>
        <w:t>1.1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/>
        <w:jc w:val="center"/>
        <w:rPr>
          <w:sz w:val="16"/>
          <w:szCs w:val="16"/>
        </w:rPr>
      </w:pPr>
      <w:bookmarkStart w:id="0" w:name="_GoBack"/>
      <w:r>
        <w:rPr>
          <w:rFonts w:hint="eastAsia" w:ascii="黑体" w:hAnsi="宋体" w:eastAsia="黑体" w:cs="黑体"/>
          <w:sz w:val="21"/>
          <w:szCs w:val="21"/>
          <w:bdr w:val="none" w:color="auto" w:sz="0" w:space="0"/>
        </w:rPr>
        <w:t>小额贷款公司现场检查要点清单</w:t>
      </w:r>
    </w:p>
    <w:bookmarkEnd w:id="0"/>
    <w:tbl>
      <w:tblPr>
        <w:tblW w:w="4998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7"/>
        <w:gridCol w:w="1554"/>
        <w:gridCol w:w="7892"/>
        <w:gridCol w:w="2989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检查内容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检查项目</w:t>
            </w:r>
          </w:p>
        </w:tc>
        <w:tc>
          <w:tcPr>
            <w:tcW w:w="27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检查要点</w:t>
            </w:r>
          </w:p>
        </w:tc>
        <w:tc>
          <w:tcPr>
            <w:tcW w:w="10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检查情况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8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仿宋_GB2312" w:eastAsia="仿宋_GB2312" w:cs="仿宋_GB2312"/>
                <w:sz w:val="14"/>
                <w:szCs w:val="14"/>
                <w:bdr w:val="none" w:color="auto" w:sz="0" w:space="0"/>
              </w:rPr>
              <w:t>基本情况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经营地址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是否与注册地一致。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公司名称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公司名称是否规范。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经营资质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是否依法依规取得小额贷款公司经营资质。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登记事项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是否存在擅自变更经营范围、经营地址、法定代表人等违反登记事项的行为。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是否存续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是否长期未开展经营活动成为“僵尸企业”。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8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合规情况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资金状况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小额贷款公司的资金来源和资金流向，银行发生额对账单与现金流量等内容，了解其经营状况，查看是否存在非法集资、非法吸收公众存款等情况。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经营区域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是否非法跨区经营。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贷款利率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贷款利率是否超过司法部门规定的上限和下限。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贷款对象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是否向股东发放贷款。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贷款比例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是否存在70%的资金发放给同一借款人贷款余额超过50万元，其余30%的资金对单户贷款余额超过资本净额的5%等情况。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风险情况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内部管理制度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是否建立健全公司治理结构，明确股东、董事、监事和经理之间的权责关系，制定稳健有效的议事规则、决策程序和内审制度。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贷款管理制度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是否建立健全贷前调查、贷时审查和贷后检查业务流程和操作规范。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财务管理制度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是否建立健全财务会计制度。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信息披露制度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是否向主管部门、提供融资的金融机构、有关捐赠机构披露经审计合规的财务报表和年度业务经营情况、融资情况、重大事项等信息。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5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jc w:val="both"/>
              <w:rPr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风险控制制度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4" w:lineRule="atLeast"/>
              <w:ind w:left="0" w:right="0"/>
              <w:jc w:val="both"/>
              <w:rPr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是否建立审慎规范的信贷资产分类制度和信贷资产损失准备制度，信贷资产损失准备充足率是否不低于100%。</w:t>
            </w:r>
            <w:r>
              <w:rPr>
                <w:rFonts w:ascii="宋体" w:hAnsi="宋体" w:eastAsia="宋体" w:cs="宋体"/>
                <w:sz w:val="14"/>
                <w:szCs w:val="14"/>
                <w:bdr w:val="none" w:color="auto" w:sz="0" w:space="0"/>
              </w:rPr>
              <w:br w:type="textWrapping"/>
            </w:r>
          </w:p>
        </w:tc>
        <w:tc>
          <w:tcPr>
            <w:tcW w:w="1060" w:type="pct"/>
            <w:shd w:val="clear"/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D000D"/>
    <w:rsid w:val="24505671"/>
    <w:rsid w:val="36CD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仿宋" w:cs="仿宋" w:asciiTheme="minorHAnsi" w:hAnsiTheme="minorHAns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2020-12-13T12:27:00Z</dcterms:created>
  <dc:creator>小小</dc:creator>
  <cp:lastModifiedBy>小小</cp:lastModifiedBy>
  <dcterms:modified xsi:type="dcterms:W3CDTF">2020-12-13T12:27:42Z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