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00" w:lineRule="atLeast"/>
        <w:ind w:left="0" w:right="0" w:firstLine="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融资租赁公司现场检查要点清单</w:t>
      </w:r>
    </w:p>
    <w:bookmarkEnd w:id="0"/>
    <w:tbl>
      <w:tblPr>
        <w:tblW w:w="4998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7"/>
        <w:gridCol w:w="1554"/>
        <w:gridCol w:w="7892"/>
        <w:gridCol w:w="2989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sz w:val="14"/>
                <w:szCs w:val="14"/>
                <w:bdr w:val="none" w:color="auto" w:sz="0" w:space="0"/>
              </w:rPr>
              <w:t>检查内容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sz w:val="14"/>
                <w:szCs w:val="14"/>
                <w:bdr w:val="none" w:color="auto" w:sz="0" w:space="0"/>
              </w:rPr>
              <w:t>检查项目</w:t>
            </w:r>
          </w:p>
        </w:tc>
        <w:tc>
          <w:tcPr>
            <w:tcW w:w="27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sz w:val="14"/>
                <w:szCs w:val="14"/>
                <w:bdr w:val="none" w:color="auto" w:sz="0" w:space="0"/>
              </w:rPr>
              <w:t>检查要点</w:t>
            </w:r>
          </w:p>
        </w:tc>
        <w:tc>
          <w:tcPr>
            <w:tcW w:w="10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sz w:val="14"/>
                <w:szCs w:val="14"/>
                <w:bdr w:val="none" w:color="auto" w:sz="0" w:space="0"/>
              </w:rPr>
              <w:t>检查情况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8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仿宋_GB2312" w:eastAsia="仿宋_GB2312" w:cs="仿宋_GB2312"/>
                <w:sz w:val="14"/>
                <w:szCs w:val="14"/>
                <w:bdr w:val="none" w:color="auto" w:sz="0" w:space="0"/>
              </w:rPr>
              <w:t>基本情况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经营地址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是否与注册地一致。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公司名称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公司名称是否规范。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经营资质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是否存在无照经营和超范围经营行为；是否列入经营异常名录或严重违法失信企业名单。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登记事项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是否存在擅自变更经营范围、经营地址、法定代表人等违反登记事项的行为。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是否存续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是否长期未开展经营活动成为“僵尸企业”。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8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合规情况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经营范围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是否从事或参与非法集资、发放贷款、受托发放贷款等行为；是否未经相关部门批准，擅自从事同业拆借、有价证券投资和金融机构股权投资等业务。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租赁物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是否存在虚构租赁物、以不符合法律规定的标的物为租赁物、未实际取得租赁物所有权或租赁物合同价值与实际价值明显不符，以融资租赁为名义实际从事资金融通业务等行为。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交易行为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是否存在与关联公司之间进行租赁物低值高买、高值低租等明显不符合市场规律的交易行为。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关联企业经营行为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是否存在关联企业中有从事典当、小额贷款、信托、融资性担保、融资租赁等业务而未报告的行为。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8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风险情况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财务制度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是否建立了财务会计管理制度。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风控制度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风险资产是否超过净资产总额的10倍，是否建立风险资产分类管理制度、承租人信用评估制度、事后追偿和处置制度、关联交易管理制度等内部风控体系。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管理人员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是否拥有不少于三年融资租赁、租赁业务或金融机构运营管理经验的总经理、副总经理、风险控制主管等高管人员。</w:t>
            </w:r>
          </w:p>
        </w:tc>
        <w:tc>
          <w:tcPr>
            <w:tcW w:w="1060" w:type="pct"/>
            <w:shd w:val="clear"/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96502"/>
    <w:rsid w:val="24505671"/>
    <w:rsid w:val="450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华文仿宋" w:cs="仿宋" w:asciiTheme="minorHAnsi" w:hAnsiTheme="minorHAns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2020-12-13T12:29:00Z</dcterms:created>
  <dc:creator>小小</dc:creator>
  <cp:lastModifiedBy>小小</cp:lastModifiedBy>
  <dcterms:modified xsi:type="dcterms:W3CDTF">2020-12-13T12:30:21Z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